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D916" w14:textId="65548D66" w:rsidR="00253F4B" w:rsidRDefault="002E7495" w:rsidP="003935D5">
      <w:pPr>
        <w:rPr>
          <w:sz w:val="32"/>
          <w:szCs w:val="32"/>
        </w:rPr>
      </w:pPr>
      <w:r>
        <w:rPr>
          <w:sz w:val="32"/>
          <w:szCs w:val="32"/>
        </w:rPr>
        <w:t>NAME OF CHARITY</w:t>
      </w:r>
    </w:p>
    <w:p w14:paraId="6D0424BB" w14:textId="427DF139" w:rsidR="0040055B" w:rsidRPr="006666DF" w:rsidRDefault="001709B5" w:rsidP="003935D5">
      <w:pPr>
        <w:rPr>
          <w:sz w:val="32"/>
          <w:szCs w:val="32"/>
        </w:rPr>
      </w:pPr>
      <w:r w:rsidRPr="006666DF">
        <w:rPr>
          <w:sz w:val="32"/>
          <w:szCs w:val="32"/>
        </w:rPr>
        <w:t xml:space="preserve">Policy </w:t>
      </w:r>
      <w:r w:rsidRPr="00021606">
        <w:rPr>
          <w:sz w:val="32"/>
          <w:szCs w:val="32"/>
        </w:rPr>
        <w:t xml:space="preserve">on </w:t>
      </w:r>
      <w:r w:rsidR="00E61A48">
        <w:rPr>
          <w:sz w:val="32"/>
          <w:szCs w:val="32"/>
        </w:rPr>
        <w:t xml:space="preserve">the </w:t>
      </w:r>
      <w:r w:rsidR="004E3D80">
        <w:rPr>
          <w:sz w:val="32"/>
          <w:szCs w:val="32"/>
        </w:rPr>
        <w:t>Line of Credit</w:t>
      </w:r>
    </w:p>
    <w:p w14:paraId="5302163D" w14:textId="77777777" w:rsidR="00D57616" w:rsidRDefault="003935D5" w:rsidP="00D5761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A6522" wp14:editId="23E69555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6847840" cy="35560"/>
                <wp:effectExtent l="0" t="0" r="2921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840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955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6pt" to="540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" strokecolor="black [3213]"/>
            </w:pict>
          </mc:Fallback>
        </mc:AlternateContent>
      </w:r>
    </w:p>
    <w:p w14:paraId="28F34403" w14:textId="5583C277" w:rsidR="00CF1F75" w:rsidRPr="00CF1F75" w:rsidRDefault="00475C87" w:rsidP="00CF1F75">
      <w:pPr>
        <w:rPr>
          <w:rFonts w:eastAsiaTheme="minorHAnsi"/>
        </w:rPr>
      </w:pPr>
      <w:r>
        <w:t xml:space="preserve">The </w:t>
      </w:r>
      <w:r w:rsidR="002E7495">
        <w:t xml:space="preserve">NAME OF CHARITY </w:t>
      </w:r>
      <w:r>
        <w:t>Board</w:t>
      </w:r>
      <w:r w:rsidR="00157C79">
        <w:t xml:space="preserve"> </w:t>
      </w:r>
      <w:r w:rsidR="00CF1F75">
        <w:t xml:space="preserve">of Directors </w:t>
      </w:r>
      <w:r w:rsidR="00157C79">
        <w:t xml:space="preserve">has </w:t>
      </w:r>
      <w:r w:rsidR="00CF1F75" w:rsidRPr="00CF1F75">
        <w:rPr>
          <w:rFonts w:eastAsiaTheme="minorHAnsi"/>
        </w:rPr>
        <w:t>secured a $</w:t>
      </w:r>
      <w:r w:rsidR="00CF1F75">
        <w:rPr>
          <w:rFonts w:eastAsiaTheme="minorHAnsi"/>
        </w:rPr>
        <w:t xml:space="preserve">xxx </w:t>
      </w:r>
      <w:r w:rsidR="00CF1F75" w:rsidRPr="00CF1F75">
        <w:rPr>
          <w:rFonts w:eastAsiaTheme="minorHAnsi"/>
        </w:rPr>
        <w:t xml:space="preserve">Line of Credit with </w:t>
      </w:r>
      <w:r w:rsidR="002E7495">
        <w:rPr>
          <w:rFonts w:eastAsiaTheme="minorHAnsi"/>
        </w:rPr>
        <w:t>NAME OF BANK</w:t>
      </w:r>
      <w:r w:rsidR="00CF1F75" w:rsidRPr="00CF1F75">
        <w:rPr>
          <w:rFonts w:eastAsiaTheme="minorHAnsi"/>
        </w:rPr>
        <w:t xml:space="preserve">, using </w:t>
      </w:r>
      <w:r w:rsidR="002E7495">
        <w:rPr>
          <w:rFonts w:eastAsiaTheme="minorHAnsi"/>
        </w:rPr>
        <w:t>XXX</w:t>
      </w:r>
      <w:r w:rsidR="00CF1F75" w:rsidRPr="00CF1F75">
        <w:rPr>
          <w:rFonts w:eastAsiaTheme="minorHAnsi"/>
        </w:rPr>
        <w:t xml:space="preserve"> as collateral.</w:t>
      </w:r>
    </w:p>
    <w:p w14:paraId="64E4937C" w14:textId="2FFAF488" w:rsidR="00E61A48" w:rsidRDefault="00E61A48" w:rsidP="00D57616"/>
    <w:p w14:paraId="6B4F28E2" w14:textId="13BF80C8" w:rsidR="004E3D80" w:rsidRPr="004E3D80" w:rsidRDefault="004E3D80" w:rsidP="004E3D80">
      <w:pPr>
        <w:rPr>
          <w:rFonts w:eastAsiaTheme="minorHAnsi"/>
        </w:rPr>
      </w:pPr>
      <w:r w:rsidRPr="004E3D80">
        <w:rPr>
          <w:rFonts w:eastAsiaTheme="minorHAnsi"/>
        </w:rPr>
        <w:t xml:space="preserve">The general purpose of the line of credit is to provide short-term working capital for </w:t>
      </w:r>
      <w:r w:rsidR="002E7495">
        <w:rPr>
          <w:rFonts w:eastAsiaTheme="minorHAnsi"/>
        </w:rPr>
        <w:t>NAME OF CHARITY</w:t>
      </w:r>
      <w:r w:rsidRPr="004E3D80">
        <w:rPr>
          <w:rFonts w:eastAsiaTheme="minorHAnsi"/>
        </w:rPr>
        <w:t xml:space="preserve">.  This policy was developed to further define the appropriate uses of the line of credit, to establish the approval process to draw upon the line of credit, and to establish a reporting and review process to keep the Board </w:t>
      </w:r>
      <w:r>
        <w:rPr>
          <w:rFonts w:eastAsiaTheme="minorHAnsi"/>
        </w:rPr>
        <w:t>of Director</w:t>
      </w:r>
      <w:r w:rsidR="00CF1F75">
        <w:rPr>
          <w:rFonts w:eastAsiaTheme="minorHAnsi"/>
        </w:rPr>
        <w:t>s</w:t>
      </w:r>
      <w:r>
        <w:rPr>
          <w:rFonts w:eastAsiaTheme="minorHAnsi"/>
        </w:rPr>
        <w:t xml:space="preserve"> </w:t>
      </w:r>
      <w:r w:rsidRPr="004E3D80">
        <w:rPr>
          <w:rFonts w:eastAsiaTheme="minorHAnsi"/>
        </w:rPr>
        <w:t>informed of the activity on the line of credit.</w:t>
      </w:r>
    </w:p>
    <w:p w14:paraId="56E05D3D" w14:textId="77777777" w:rsidR="004E3D80" w:rsidRPr="004E3D80" w:rsidRDefault="004E3D80" w:rsidP="004E3D80">
      <w:pPr>
        <w:rPr>
          <w:rFonts w:eastAsiaTheme="minorHAnsi"/>
        </w:rPr>
      </w:pPr>
    </w:p>
    <w:p w14:paraId="7865BFCE" w14:textId="77777777" w:rsidR="004E3D80" w:rsidRPr="004E3D80" w:rsidRDefault="004E3D80" w:rsidP="004E3D80">
      <w:pPr>
        <w:rPr>
          <w:rFonts w:eastAsiaTheme="minorHAnsi"/>
        </w:rPr>
      </w:pPr>
      <w:r w:rsidRPr="004E3D80">
        <w:rPr>
          <w:rFonts w:eastAsiaTheme="minorHAnsi"/>
        </w:rPr>
        <w:t>Purposes of the Line of Credit:</w:t>
      </w:r>
    </w:p>
    <w:p w14:paraId="727C2916" w14:textId="77777777" w:rsidR="004E3D80" w:rsidRPr="004E3D80" w:rsidRDefault="004E3D80" w:rsidP="004E3D80">
      <w:pPr>
        <w:rPr>
          <w:rFonts w:eastAsiaTheme="minorHAnsi"/>
        </w:rPr>
      </w:pPr>
    </w:p>
    <w:p w14:paraId="20411686" w14:textId="77777777" w:rsidR="004E3D80" w:rsidRPr="004E3D80" w:rsidRDefault="004E3D80" w:rsidP="004E3D80">
      <w:pPr>
        <w:numPr>
          <w:ilvl w:val="0"/>
          <w:numId w:val="10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 xml:space="preserve"> To cover short-term cash flow needs in advance of a future inflow of cash.</w:t>
      </w:r>
    </w:p>
    <w:p w14:paraId="7C09CAF3" w14:textId="77777777" w:rsidR="004E3D80" w:rsidRPr="004E3D80" w:rsidRDefault="004E3D80" w:rsidP="004E3D80">
      <w:pPr>
        <w:rPr>
          <w:rFonts w:eastAsiaTheme="minorHAnsi"/>
        </w:rPr>
      </w:pPr>
    </w:p>
    <w:p w14:paraId="1EBBB5EE" w14:textId="445E7C54" w:rsidR="004E3D80" w:rsidRPr="004E3D80" w:rsidRDefault="004E3D80" w:rsidP="004E3D80">
      <w:pPr>
        <w:numPr>
          <w:ilvl w:val="0"/>
          <w:numId w:val="10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 xml:space="preserve"> For any other purpose which the Board of </w:t>
      </w:r>
      <w:r w:rsidR="00CF1F75">
        <w:rPr>
          <w:rFonts w:eastAsiaTheme="minorHAnsi"/>
        </w:rPr>
        <w:t>Director</w:t>
      </w:r>
      <w:r w:rsidRPr="004E3D80">
        <w:rPr>
          <w:rFonts w:eastAsiaTheme="minorHAnsi"/>
        </w:rPr>
        <w:t>s deems appropriate and prudent.</w:t>
      </w:r>
    </w:p>
    <w:p w14:paraId="223F236F" w14:textId="77777777" w:rsidR="004E3D80" w:rsidRPr="004E3D80" w:rsidRDefault="004E3D80" w:rsidP="004E3D80">
      <w:pPr>
        <w:rPr>
          <w:rFonts w:eastAsiaTheme="minorHAnsi"/>
        </w:rPr>
      </w:pPr>
    </w:p>
    <w:p w14:paraId="6B3F2719" w14:textId="77777777" w:rsidR="004E3D80" w:rsidRPr="004E3D80" w:rsidRDefault="004E3D80" w:rsidP="004E3D80">
      <w:pPr>
        <w:rPr>
          <w:rFonts w:eastAsiaTheme="minorHAnsi"/>
        </w:rPr>
      </w:pPr>
      <w:r w:rsidRPr="004E3D80">
        <w:rPr>
          <w:rFonts w:eastAsiaTheme="minorHAnsi"/>
        </w:rPr>
        <w:t>Approval Process for the Line of Credit:</w:t>
      </w:r>
    </w:p>
    <w:p w14:paraId="70CBD8C0" w14:textId="77777777" w:rsidR="004E3D80" w:rsidRPr="004E3D80" w:rsidRDefault="004E3D80" w:rsidP="004E3D80">
      <w:pPr>
        <w:rPr>
          <w:rFonts w:eastAsiaTheme="minorHAnsi"/>
        </w:rPr>
      </w:pPr>
    </w:p>
    <w:p w14:paraId="57472287" w14:textId="070B9001" w:rsidR="004E3D80" w:rsidRDefault="004E3D80" w:rsidP="004E3D80">
      <w:pPr>
        <w:numPr>
          <w:ilvl w:val="0"/>
          <w:numId w:val="11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 xml:space="preserve">The Finance &amp; Audit Committee shall review all proposed draws on the line of credit and shall provide a recommendation regarding the proposed draw to the Board of </w:t>
      </w:r>
      <w:r w:rsidR="00CF1F75">
        <w:rPr>
          <w:rFonts w:eastAsiaTheme="minorHAnsi"/>
        </w:rPr>
        <w:t>Directors</w:t>
      </w:r>
      <w:r w:rsidRPr="004E3D80">
        <w:rPr>
          <w:rFonts w:eastAsiaTheme="minorHAnsi"/>
        </w:rPr>
        <w:t>.</w:t>
      </w:r>
    </w:p>
    <w:p w14:paraId="61A03514" w14:textId="5A211B61" w:rsidR="00507DDF" w:rsidRDefault="00507DDF" w:rsidP="00507DDF">
      <w:pPr>
        <w:contextualSpacing/>
        <w:rPr>
          <w:rFonts w:eastAsiaTheme="minorHAnsi"/>
        </w:rPr>
      </w:pPr>
    </w:p>
    <w:p w14:paraId="758A2992" w14:textId="471AD2A8" w:rsidR="00507DDF" w:rsidRDefault="004E3D80" w:rsidP="004E3D80">
      <w:pPr>
        <w:numPr>
          <w:ilvl w:val="0"/>
          <w:numId w:val="11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>All draws on the line of credit must be approved by</w:t>
      </w:r>
      <w:r w:rsidR="00507DDF">
        <w:rPr>
          <w:rFonts w:eastAsiaTheme="minorHAnsi"/>
        </w:rPr>
        <w:t xml:space="preserve"> a majority of the full Board of Directors.</w:t>
      </w:r>
    </w:p>
    <w:p w14:paraId="5069C903" w14:textId="77777777" w:rsidR="00507DDF" w:rsidRDefault="00507DDF" w:rsidP="00507DDF">
      <w:pPr>
        <w:pStyle w:val="ListParagraph"/>
        <w:rPr>
          <w:rFonts w:eastAsiaTheme="minorHAnsi"/>
        </w:rPr>
      </w:pPr>
    </w:p>
    <w:p w14:paraId="49E4D157" w14:textId="2441ACA0" w:rsidR="004E3D80" w:rsidRPr="004E3D80" w:rsidRDefault="004E3D80" w:rsidP="004E3D80">
      <w:pPr>
        <w:numPr>
          <w:ilvl w:val="0"/>
          <w:numId w:val="11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 xml:space="preserve"> </w:t>
      </w:r>
      <w:r w:rsidR="00507DDF">
        <w:rPr>
          <w:rFonts w:eastAsiaTheme="minorHAnsi"/>
        </w:rPr>
        <w:t>Once approved by the Board, signatures for at least t</w:t>
      </w:r>
      <w:r w:rsidR="00CF1F75">
        <w:rPr>
          <w:rFonts w:eastAsiaTheme="minorHAnsi"/>
        </w:rPr>
        <w:t>wo</w:t>
      </w:r>
      <w:r w:rsidRPr="004E3D80">
        <w:rPr>
          <w:rFonts w:eastAsiaTheme="minorHAnsi"/>
        </w:rPr>
        <w:t xml:space="preserve"> of the </w:t>
      </w:r>
      <w:r w:rsidR="00507DDF">
        <w:rPr>
          <w:rFonts w:eastAsiaTheme="minorHAnsi"/>
        </w:rPr>
        <w:t>current authorized signers shall be required to effectuate the draw.</w:t>
      </w:r>
    </w:p>
    <w:p w14:paraId="6A3FD10B" w14:textId="77777777" w:rsidR="004E3D80" w:rsidRPr="004E3D80" w:rsidRDefault="004E3D80" w:rsidP="004E3D80">
      <w:pPr>
        <w:rPr>
          <w:rFonts w:eastAsiaTheme="minorHAnsi"/>
        </w:rPr>
      </w:pPr>
    </w:p>
    <w:p w14:paraId="2D43760E" w14:textId="77777777" w:rsidR="004E3D80" w:rsidRPr="004E3D80" w:rsidRDefault="004E3D80" w:rsidP="004E3D80">
      <w:pPr>
        <w:rPr>
          <w:rFonts w:eastAsiaTheme="minorHAnsi"/>
        </w:rPr>
      </w:pPr>
      <w:r w:rsidRPr="004E3D80">
        <w:rPr>
          <w:rFonts w:eastAsiaTheme="minorHAnsi"/>
        </w:rPr>
        <w:t>Reporting and Review Process:</w:t>
      </w:r>
    </w:p>
    <w:p w14:paraId="1014AF83" w14:textId="77777777" w:rsidR="004E3D80" w:rsidRPr="004E3D80" w:rsidRDefault="004E3D80" w:rsidP="004E3D80">
      <w:pPr>
        <w:rPr>
          <w:rFonts w:eastAsiaTheme="minorHAnsi"/>
        </w:rPr>
      </w:pPr>
    </w:p>
    <w:p w14:paraId="049DDF74" w14:textId="47DAC826" w:rsidR="004E3D80" w:rsidRPr="004E3D80" w:rsidRDefault="004E3D80" w:rsidP="004E3D80">
      <w:pPr>
        <w:numPr>
          <w:ilvl w:val="0"/>
          <w:numId w:val="12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 xml:space="preserve">The Board </w:t>
      </w:r>
      <w:r w:rsidR="00CF1F75">
        <w:rPr>
          <w:rFonts w:eastAsiaTheme="minorHAnsi"/>
        </w:rPr>
        <w:t xml:space="preserve">of Directors </w:t>
      </w:r>
      <w:r w:rsidRPr="004E3D80">
        <w:rPr>
          <w:rFonts w:eastAsiaTheme="minorHAnsi"/>
        </w:rPr>
        <w:t>shall receive a statement of the activity at each regular Board meeting for any period in which there is an outstanding balance on the line of credit.</w:t>
      </w:r>
    </w:p>
    <w:p w14:paraId="379214B9" w14:textId="77777777" w:rsidR="004E3D80" w:rsidRPr="004E3D80" w:rsidRDefault="004E3D80" w:rsidP="004E3D80">
      <w:pPr>
        <w:rPr>
          <w:rFonts w:eastAsiaTheme="minorHAnsi"/>
        </w:rPr>
      </w:pPr>
    </w:p>
    <w:p w14:paraId="7A31BDCB" w14:textId="2756CBF2" w:rsidR="004E3D80" w:rsidRPr="004E3D80" w:rsidRDefault="004E3D80" w:rsidP="004E3D80">
      <w:pPr>
        <w:numPr>
          <w:ilvl w:val="0"/>
          <w:numId w:val="12"/>
        </w:numPr>
        <w:contextualSpacing/>
        <w:rPr>
          <w:rFonts w:eastAsiaTheme="minorHAnsi"/>
        </w:rPr>
      </w:pPr>
      <w:r w:rsidRPr="004E3D80">
        <w:rPr>
          <w:rFonts w:eastAsiaTheme="minorHAnsi"/>
        </w:rPr>
        <w:t xml:space="preserve">The Finance &amp; Audit Committee shall perform an annual review of the activity on the line of credit to ensure compliance with this policy and shall submit a report to the Board </w:t>
      </w:r>
      <w:r w:rsidR="00CF1F75">
        <w:rPr>
          <w:rFonts w:eastAsiaTheme="minorHAnsi"/>
        </w:rPr>
        <w:t xml:space="preserve">of Directors </w:t>
      </w:r>
      <w:r w:rsidRPr="004E3D80">
        <w:rPr>
          <w:rFonts w:eastAsiaTheme="minorHAnsi"/>
        </w:rPr>
        <w:t>regarding its findings and any recommendations which the Committee deems appropriate.</w:t>
      </w:r>
    </w:p>
    <w:p w14:paraId="614B049D" w14:textId="77777777" w:rsidR="004E3D80" w:rsidRPr="004E3D80" w:rsidRDefault="004E3D80" w:rsidP="004E3D80">
      <w:pPr>
        <w:ind w:left="720"/>
        <w:contextualSpacing/>
        <w:rPr>
          <w:rFonts w:eastAsiaTheme="minorHAnsi"/>
        </w:rPr>
      </w:pPr>
    </w:p>
    <w:p w14:paraId="024317DA" w14:textId="66614560" w:rsidR="004E3D80" w:rsidRDefault="004E3D80" w:rsidP="004E3D80">
      <w:pPr>
        <w:rPr>
          <w:rFonts w:eastAsiaTheme="minorHAnsi"/>
        </w:rPr>
      </w:pPr>
    </w:p>
    <w:p w14:paraId="540D35A1" w14:textId="19CF3C74" w:rsidR="004E3D80" w:rsidRDefault="004E3D80" w:rsidP="003935D5"/>
    <w:p w14:paraId="4547B748" w14:textId="77777777" w:rsidR="004E3D80" w:rsidRDefault="004E3D80" w:rsidP="003935D5"/>
    <w:p w14:paraId="46ED86D5" w14:textId="131C797B" w:rsidR="003935D5" w:rsidRPr="004C2F1C" w:rsidRDefault="00FE711B" w:rsidP="004C2F1C">
      <w:r>
        <w:rPr>
          <w:i/>
        </w:rPr>
        <w:t>Date of Adoptio</w:t>
      </w:r>
      <w:r w:rsidR="00172BE2">
        <w:rPr>
          <w:i/>
        </w:rPr>
        <w:t>n</w:t>
      </w:r>
      <w:r w:rsidR="0097332E">
        <w:rPr>
          <w:i/>
        </w:rPr>
        <w:t>:</w:t>
      </w:r>
    </w:p>
    <w:sectPr w:rsidR="003935D5" w:rsidRPr="004C2F1C" w:rsidSect="00F41DF8">
      <w:footerReference w:type="default" r:id="rId7"/>
      <w:footerReference w:type="first" r:id="rId8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ABAE" w14:textId="77777777" w:rsidR="00982298" w:rsidRDefault="00982298">
      <w:r>
        <w:separator/>
      </w:r>
    </w:p>
  </w:endnote>
  <w:endnote w:type="continuationSeparator" w:id="0">
    <w:p w14:paraId="2B63B8A7" w14:textId="77777777" w:rsidR="00982298" w:rsidRDefault="009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3786" w14:textId="4F013136" w:rsidR="00F41DF8" w:rsidRPr="003935D5" w:rsidRDefault="00A6678C" w:rsidP="00F41DF8">
    <w:pPr>
      <w:jc w:val="both"/>
      <w:rPr>
        <w:i/>
        <w:sz w:val="20"/>
        <w:szCs w:val="20"/>
      </w:rPr>
    </w:pPr>
    <w:r>
      <w:rPr>
        <w:i/>
        <w:sz w:val="20"/>
        <w:szCs w:val="20"/>
      </w:rPr>
      <w:t>NAME OF CHARITY</w:t>
    </w:r>
  </w:p>
  <w:p w14:paraId="0966D4B1" w14:textId="467B2377" w:rsidR="00F41DF8" w:rsidRPr="003935D5" w:rsidRDefault="00F41DF8" w:rsidP="00F41DF8">
    <w:pPr>
      <w:jc w:val="both"/>
      <w:rPr>
        <w:i/>
        <w:sz w:val="20"/>
        <w:szCs w:val="20"/>
      </w:rPr>
    </w:pPr>
    <w:r>
      <w:rPr>
        <w:i/>
        <w:sz w:val="20"/>
        <w:szCs w:val="20"/>
      </w:rPr>
      <w:t>Policy on</w:t>
    </w:r>
    <w:r w:rsidR="00FA1D0C">
      <w:rPr>
        <w:i/>
        <w:sz w:val="20"/>
        <w:szCs w:val="20"/>
      </w:rPr>
      <w:t xml:space="preserve"> </w:t>
    </w:r>
    <w:r w:rsidR="00AF5B01">
      <w:rPr>
        <w:i/>
        <w:sz w:val="20"/>
        <w:szCs w:val="20"/>
      </w:rPr>
      <w:t xml:space="preserve">the </w:t>
    </w:r>
    <w:r w:rsidR="004E3D80">
      <w:rPr>
        <w:i/>
        <w:sz w:val="20"/>
        <w:szCs w:val="20"/>
      </w:rPr>
      <w:t>Line of Credit</w:t>
    </w:r>
    <w:r w:rsidR="002B14ED">
      <w:rPr>
        <w:i/>
        <w:sz w:val="20"/>
        <w:szCs w:val="20"/>
      </w:rPr>
      <w:tab/>
    </w:r>
    <w:r w:rsidR="002B14ED">
      <w:rPr>
        <w:i/>
        <w:sz w:val="20"/>
        <w:szCs w:val="20"/>
      </w:rPr>
      <w:tab/>
    </w:r>
    <w:r w:rsidR="002B14ED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12008">
      <w:rPr>
        <w:i/>
        <w:sz w:val="20"/>
        <w:szCs w:val="20"/>
      </w:rPr>
      <w:t xml:space="preserve">Page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PAGE  \* Arabic  \* MERGEFORMAT </w:instrText>
    </w:r>
    <w:r w:rsidRPr="00312008">
      <w:rPr>
        <w:bCs/>
        <w:i/>
        <w:sz w:val="20"/>
        <w:szCs w:val="20"/>
      </w:rPr>
      <w:fldChar w:fldCharType="separate"/>
    </w:r>
    <w:r w:rsidR="00207CBC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  <w:r w:rsidRPr="00312008">
      <w:rPr>
        <w:i/>
        <w:sz w:val="20"/>
        <w:szCs w:val="20"/>
      </w:rPr>
      <w:t xml:space="preserve"> of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NUMPAGES  \* Arabic  \* MERGEFORMAT </w:instrText>
    </w:r>
    <w:r w:rsidRPr="00312008">
      <w:rPr>
        <w:bCs/>
        <w:i/>
        <w:sz w:val="20"/>
        <w:szCs w:val="20"/>
      </w:rPr>
      <w:fldChar w:fldCharType="separate"/>
    </w:r>
    <w:r w:rsidR="00207CBC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</w:p>
  <w:p w14:paraId="48FA48F1" w14:textId="77777777" w:rsidR="00312008" w:rsidRDefault="0031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9AD5" w14:textId="77777777" w:rsidR="0040055B" w:rsidRPr="003935D5" w:rsidRDefault="003935D5" w:rsidP="0040055B">
    <w:pPr>
      <w:jc w:val="both"/>
      <w:rPr>
        <w:i/>
        <w:sz w:val="20"/>
        <w:szCs w:val="20"/>
      </w:rPr>
    </w:pPr>
    <w:r w:rsidRPr="003935D5">
      <w:rPr>
        <w:i/>
        <w:sz w:val="20"/>
        <w:szCs w:val="20"/>
      </w:rPr>
      <w:t>Washington County Community Foundation</w:t>
    </w:r>
  </w:p>
  <w:p w14:paraId="6DC396B2" w14:textId="77777777" w:rsidR="003935D5" w:rsidRPr="003935D5" w:rsidRDefault="00312008" w:rsidP="0040055B">
    <w:pPr>
      <w:jc w:val="both"/>
      <w:rPr>
        <w:i/>
        <w:sz w:val="20"/>
        <w:szCs w:val="20"/>
      </w:rPr>
    </w:pPr>
    <w:r>
      <w:rPr>
        <w:i/>
        <w:sz w:val="20"/>
        <w:szCs w:val="20"/>
      </w:rPr>
      <w:t>Policy on Accounting, Auditing and Governmental Reporting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12008">
      <w:rPr>
        <w:i/>
        <w:sz w:val="20"/>
        <w:szCs w:val="20"/>
      </w:rPr>
      <w:t xml:space="preserve">Page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PAGE  \* Arabic  \* MERGEFORMAT </w:instrText>
    </w:r>
    <w:r w:rsidRPr="00312008">
      <w:rPr>
        <w:bCs/>
        <w:i/>
        <w:sz w:val="20"/>
        <w:szCs w:val="20"/>
      </w:rPr>
      <w:fldChar w:fldCharType="separate"/>
    </w:r>
    <w:r w:rsidR="00F41DF8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  <w:r w:rsidRPr="00312008">
      <w:rPr>
        <w:i/>
        <w:sz w:val="20"/>
        <w:szCs w:val="20"/>
      </w:rPr>
      <w:t xml:space="preserve"> of </w:t>
    </w:r>
    <w:r w:rsidRPr="00312008">
      <w:rPr>
        <w:bCs/>
        <w:i/>
        <w:sz w:val="20"/>
        <w:szCs w:val="20"/>
      </w:rPr>
      <w:fldChar w:fldCharType="begin"/>
    </w:r>
    <w:r w:rsidRPr="00312008">
      <w:rPr>
        <w:bCs/>
        <w:i/>
        <w:sz w:val="20"/>
        <w:szCs w:val="20"/>
      </w:rPr>
      <w:instrText xml:space="preserve"> NUMPAGES  \* Arabic  \* MERGEFORMAT </w:instrText>
    </w:r>
    <w:r w:rsidRPr="00312008">
      <w:rPr>
        <w:bCs/>
        <w:i/>
        <w:sz w:val="20"/>
        <w:szCs w:val="20"/>
      </w:rPr>
      <w:fldChar w:fldCharType="separate"/>
    </w:r>
    <w:r w:rsidR="00FA1D0C">
      <w:rPr>
        <w:bCs/>
        <w:i/>
        <w:noProof/>
        <w:sz w:val="20"/>
        <w:szCs w:val="20"/>
      </w:rPr>
      <w:t>1</w:t>
    </w:r>
    <w:r w:rsidRPr="00312008">
      <w:rPr>
        <w:bCs/>
        <w:i/>
        <w:sz w:val="20"/>
        <w:szCs w:val="20"/>
      </w:rPr>
      <w:fldChar w:fldCharType="end"/>
    </w:r>
  </w:p>
  <w:p w14:paraId="03792926" w14:textId="77777777" w:rsidR="0040055B" w:rsidRDefault="0040055B" w:rsidP="0040055B">
    <w:pPr>
      <w:pStyle w:val="Footer"/>
      <w:rPr>
        <w:sz w:val="16"/>
        <w:szCs w:val="16"/>
      </w:rPr>
    </w:pPr>
  </w:p>
  <w:p w14:paraId="5A2C3B4B" w14:textId="77777777" w:rsidR="0040055B" w:rsidRDefault="0040055B">
    <w:pPr>
      <w:pStyle w:val="Footer"/>
    </w:pPr>
  </w:p>
  <w:p w14:paraId="6DEB97B1" w14:textId="77777777" w:rsidR="0040055B" w:rsidRDefault="0040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9865" w14:textId="77777777" w:rsidR="00982298" w:rsidRDefault="00982298">
      <w:r>
        <w:separator/>
      </w:r>
    </w:p>
  </w:footnote>
  <w:footnote w:type="continuationSeparator" w:id="0">
    <w:p w14:paraId="2469BE0C" w14:textId="77777777" w:rsidR="00982298" w:rsidRDefault="0098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422"/>
    <w:multiLevelType w:val="hybridMultilevel"/>
    <w:tmpl w:val="27AC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41875"/>
    <w:multiLevelType w:val="hybridMultilevel"/>
    <w:tmpl w:val="33F6BB86"/>
    <w:lvl w:ilvl="0" w:tplc="348C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56BF"/>
    <w:multiLevelType w:val="hybridMultilevel"/>
    <w:tmpl w:val="2DE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6824"/>
    <w:multiLevelType w:val="hybridMultilevel"/>
    <w:tmpl w:val="D49A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5810"/>
    <w:multiLevelType w:val="hybridMultilevel"/>
    <w:tmpl w:val="5276E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22CB1"/>
    <w:multiLevelType w:val="hybridMultilevel"/>
    <w:tmpl w:val="C272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6DB6"/>
    <w:multiLevelType w:val="hybridMultilevel"/>
    <w:tmpl w:val="4ACE2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E13E8"/>
    <w:multiLevelType w:val="hybridMultilevel"/>
    <w:tmpl w:val="7C5C6DB4"/>
    <w:lvl w:ilvl="0" w:tplc="7B7A7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34183"/>
    <w:multiLevelType w:val="hybridMultilevel"/>
    <w:tmpl w:val="23FCC5C0"/>
    <w:lvl w:ilvl="0" w:tplc="C89C92DA">
      <w:start w:val="1"/>
      <w:numFmt w:val="bullet"/>
      <w:lvlText w:val="▫"/>
      <w:lvlJc w:val="left"/>
      <w:pPr>
        <w:tabs>
          <w:tab w:val="num" w:pos="360"/>
        </w:tabs>
        <w:ind w:left="72" w:hanging="72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8FD6D45"/>
    <w:multiLevelType w:val="hybridMultilevel"/>
    <w:tmpl w:val="81F0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C1278"/>
    <w:multiLevelType w:val="hybridMultilevel"/>
    <w:tmpl w:val="79C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091C"/>
    <w:multiLevelType w:val="hybridMultilevel"/>
    <w:tmpl w:val="49A6F616"/>
    <w:lvl w:ilvl="0" w:tplc="2EA8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E54D3"/>
    <w:multiLevelType w:val="hybridMultilevel"/>
    <w:tmpl w:val="A54024A4"/>
    <w:lvl w:ilvl="0" w:tplc="57B2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5"/>
    <w:rsid w:val="00015D0F"/>
    <w:rsid w:val="00021606"/>
    <w:rsid w:val="00021A57"/>
    <w:rsid w:val="000511D9"/>
    <w:rsid w:val="000F57E7"/>
    <w:rsid w:val="00157C79"/>
    <w:rsid w:val="001709B5"/>
    <w:rsid w:val="00172BE2"/>
    <w:rsid w:val="00193862"/>
    <w:rsid w:val="001B6B02"/>
    <w:rsid w:val="00207CBC"/>
    <w:rsid w:val="002104A4"/>
    <w:rsid w:val="00211FA3"/>
    <w:rsid w:val="00214DAC"/>
    <w:rsid w:val="00233BE0"/>
    <w:rsid w:val="00234557"/>
    <w:rsid w:val="00253F4B"/>
    <w:rsid w:val="002914F1"/>
    <w:rsid w:val="002946D0"/>
    <w:rsid w:val="002B14ED"/>
    <w:rsid w:val="002B3F33"/>
    <w:rsid w:val="002C5FE2"/>
    <w:rsid w:val="002E22BD"/>
    <w:rsid w:val="002E7495"/>
    <w:rsid w:val="002E7664"/>
    <w:rsid w:val="0031141C"/>
    <w:rsid w:val="00312008"/>
    <w:rsid w:val="003130BA"/>
    <w:rsid w:val="00325F4A"/>
    <w:rsid w:val="00337165"/>
    <w:rsid w:val="00353A9D"/>
    <w:rsid w:val="003935D5"/>
    <w:rsid w:val="003B4525"/>
    <w:rsid w:val="0040055B"/>
    <w:rsid w:val="00475C87"/>
    <w:rsid w:val="004842FE"/>
    <w:rsid w:val="004A7F9C"/>
    <w:rsid w:val="004C2F1C"/>
    <w:rsid w:val="004D0F55"/>
    <w:rsid w:val="004E3D80"/>
    <w:rsid w:val="004E45C2"/>
    <w:rsid w:val="00507DDF"/>
    <w:rsid w:val="0053445F"/>
    <w:rsid w:val="005425F8"/>
    <w:rsid w:val="0057033C"/>
    <w:rsid w:val="005F0708"/>
    <w:rsid w:val="006666DF"/>
    <w:rsid w:val="006707C2"/>
    <w:rsid w:val="006A18B5"/>
    <w:rsid w:val="00706CE9"/>
    <w:rsid w:val="00712C3A"/>
    <w:rsid w:val="00737F8E"/>
    <w:rsid w:val="007852C2"/>
    <w:rsid w:val="008125FD"/>
    <w:rsid w:val="00846078"/>
    <w:rsid w:val="00864DA9"/>
    <w:rsid w:val="008C1B91"/>
    <w:rsid w:val="0097332E"/>
    <w:rsid w:val="00982298"/>
    <w:rsid w:val="009B4A0F"/>
    <w:rsid w:val="009C189A"/>
    <w:rsid w:val="00A6678C"/>
    <w:rsid w:val="00A71F1F"/>
    <w:rsid w:val="00A72CAF"/>
    <w:rsid w:val="00AC7160"/>
    <w:rsid w:val="00AF5B01"/>
    <w:rsid w:val="00B3564E"/>
    <w:rsid w:val="00B36147"/>
    <w:rsid w:val="00B65A0D"/>
    <w:rsid w:val="00B915E3"/>
    <w:rsid w:val="00BA3FEA"/>
    <w:rsid w:val="00C24E39"/>
    <w:rsid w:val="00C95427"/>
    <w:rsid w:val="00CF1F75"/>
    <w:rsid w:val="00D1253C"/>
    <w:rsid w:val="00D42003"/>
    <w:rsid w:val="00D57616"/>
    <w:rsid w:val="00D6340F"/>
    <w:rsid w:val="00D63EA0"/>
    <w:rsid w:val="00D84396"/>
    <w:rsid w:val="00D90E84"/>
    <w:rsid w:val="00E073E1"/>
    <w:rsid w:val="00E61A48"/>
    <w:rsid w:val="00F00853"/>
    <w:rsid w:val="00F0414F"/>
    <w:rsid w:val="00F41DF8"/>
    <w:rsid w:val="00F7133F"/>
    <w:rsid w:val="00FA0EC6"/>
    <w:rsid w:val="00FA1D0C"/>
    <w:rsid w:val="00FC22B0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D545"/>
  <w15:docId w15:val="{AA380008-C942-442A-B16E-C5E3555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1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E0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33BE0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33BE0"/>
    <w:rPr>
      <w:b/>
      <w:bCs/>
      <w:i/>
      <w:iCs/>
    </w:rPr>
  </w:style>
  <w:style w:type="character" w:customStyle="1" w:styleId="Heading2Char">
    <w:name w:val="Heading 2 Char"/>
    <w:link w:val="Heading2"/>
    <w:rsid w:val="00233BE0"/>
    <w:rPr>
      <w:b/>
    </w:rPr>
  </w:style>
  <w:style w:type="paragraph" w:styleId="FootnoteText">
    <w:name w:val="footnote text"/>
    <w:basedOn w:val="Normal"/>
    <w:link w:val="FootnoteTextChar"/>
    <w:rsid w:val="00233B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BE0"/>
  </w:style>
  <w:style w:type="paragraph" w:styleId="BalloonText">
    <w:name w:val="Balloon Text"/>
    <w:basedOn w:val="Normal"/>
    <w:link w:val="BalloonTextChar"/>
    <w:rsid w:val="0032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F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425F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055B"/>
    <w:rPr>
      <w:sz w:val="24"/>
      <w:szCs w:val="24"/>
    </w:rPr>
  </w:style>
  <w:style w:type="character" w:styleId="Hyperlink">
    <w:name w:val="Hyperlink"/>
    <w:uiPriority w:val="99"/>
    <w:semiHidden/>
    <w:unhideWhenUsed/>
    <w:rsid w:val="0040055B"/>
    <w:rPr>
      <w:color w:val="0000FF"/>
      <w:u w:val="single"/>
    </w:rPr>
  </w:style>
  <w:style w:type="paragraph" w:customStyle="1" w:styleId="p13">
    <w:name w:val="p13"/>
    <w:basedOn w:val="Normal"/>
    <w:rsid w:val="00D57616"/>
    <w:pPr>
      <w:widowControl w:val="0"/>
      <w:tabs>
        <w:tab w:val="left" w:pos="1480"/>
        <w:tab w:val="left" w:pos="1920"/>
      </w:tabs>
      <w:overflowPunct w:val="0"/>
      <w:autoSpaceDE w:val="0"/>
      <w:autoSpaceDN w:val="0"/>
      <w:adjustRightInd w:val="0"/>
      <w:spacing w:line="280" w:lineRule="atLeast"/>
      <w:ind w:left="720" w:firstLine="72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D4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Dell Computer Corporation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</dc:title>
  <dc:creator>Kenda K. Dulaney</dc:creator>
  <cp:lastModifiedBy>Betsie Trew</cp:lastModifiedBy>
  <cp:revision>6</cp:revision>
  <cp:lastPrinted>2014-07-28T19:19:00Z</cp:lastPrinted>
  <dcterms:created xsi:type="dcterms:W3CDTF">2022-01-07T19:59:00Z</dcterms:created>
  <dcterms:modified xsi:type="dcterms:W3CDTF">2022-01-18T22:58:00Z</dcterms:modified>
</cp:coreProperties>
</file>